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Проректору по…(см. инструкцию)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от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от ФИО,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контактный телефон, электронная почта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 ПО УСТАНОВКЕ ПИТЬЕВЫХ ФОНТАНЧИКОВ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Ежегодно в России образуется около 50 миллионов тонн коммунальных отходов. По оценкам Счетной палаты к 2024 году в ⅓ регионов России на текущих мусорных полигонах не останется места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этом по некоторым оценкам, до половины твёрдых коммунальных отходов в России — одноразовая упаковка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80% воздействия товаров на окружающую среду определяется на этапе их проектирования. Более 90% потерь биоразнообразия и воздействия на водоёмы приходится на добычу ресурсов и производство новых вещей и упаковки. Это значит, что интенсивность и качество потребления сильно воздействует на состояние окружающей среды.  Например,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для изготовления одной пластиковой бутылки требуется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в три раза больше воды, чем она может вместить.</w:t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снизить нагрузку от производства и загрязнения окружающей среды, нужно беречь ресурсы. Это важная составляющая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экономики замкнутого цикла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одноимённый проект заложен в стратегию социально-экономического развития России до 2030 года, а значит, это одна из важных государственных задач, которая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будет активно развиваться в нашей стране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такой модели экономики товары и упаковку в первую очередь используют как можно дольше и многократно, ремонтируют их и только потом перерабатывают. Этот подход позволит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минимизировать количество образуемых отходов, поступающих в систему обращения с ними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(транспортировка, обработка, сортировка, утилизация, захоронение).  Согласно целям, к 2030 г. на захоронение должны отправляться не более чем 50% отходов, и уменьшение использования одноразовой упаковки поможет в достижении этой цели.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Большие дела складываются из малых начинаний.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Университет/институт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важная часть сообщества каждого города может внести свой вклад в решение проблемы сокращения образования отходов. Для этого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предлагаю установить на территории школы питьевые фонтанчики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За счёт такой меры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университету/институту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удастся сократить затраты на вывоз отходов: пластиковые бутылки от питьевых напитков объёмные и занимают много места в контейнерах. Сотрудникам и обучающимся при этом можно объяснить, как то, что они будут пользоваться питьевыми фонтанчиками, поможет выбрасывать меньше мусора. Попросите их приносить с собой собственные многоразовые бутылки для воды. Такой призыв необходимо распространять на информационных площадках учебного заведения и через педагогический состав, через экоуроки. Например, в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колледже Аллегейни протестировали различные меры и зафиксировали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, что использование одноразовой бутилированной воды сократилось после серии информационных кампаний, а использование станций питьевой воды увеличилось на 46 % после открытия 28 новых доступных точек.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главный аргумент в пользу установки питьевых фонтанчиков — здоровье обучающихся и сотрудников. Своевременное восстановление водного баланса является одним из важных элементов хорошей успеваемости и работоспособности, поэтому свободный доступ к воде необходим для студентов. Каждый человек нуждается в чистой питьевой воде. Её доступность — важный элемент инфраструктуры современного города наравне с урнами, лавочками и туалетами. Доступ к чистой питьевой воде и возможность набирать чистую фильтрованную воду в свою многоразовую бутылку благоприятно скажется также на здоровье учеников и преподавателей и уменьшит попадание микропластика в организм: исследования показывают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в 93% образцов бутилированной воды есть микропластик.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Проекты по установке питьевых фонтанчиков в учебных заведениях набирают популярность в России. Например, по инициативе главы администрации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Липецкой области в 261 школе региона установлены питьевые фонтанчики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Среди высших учебных заведений можно отметить ВолгГМУ, где есть доступ к бесплатной чистой питьевой воде в двух корпусах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ЮУрГУ, где есть пять точек с фонтанчиками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b w:val="1"/>
          <w:color w:val="555555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b w:val="1"/>
          <w:color w:val="555555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распространить такую практику и в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[название университета/института]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Пожалуйста, сообщите, заинтересована ли администрация в реализации предложенной меры.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уважением,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дата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Счётная палата, 2020: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https://ach.gov.ru/upload/iblock/462/46234b3e3624fcccbb8bace5c892f2f4.pdf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https://rupec.ru/news/49850/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https://www.npr.org/sections/thesalt/2013/10/28/241419373/how-much-water-actually-goes-into-making-a-bottle-of-water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https://www.sciencedirect.com/science/article/pii/S2352550923000908#bb0015</w:t>
        </w:r>
      </w:hyperlink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https://www.forbes.com/sites/niallmccarthy/2018/03/16/study-finds-microplastics-in-93-percent-of-bottled-water-infographic/?sh=2b7e0e2073fa</w:t>
        </w:r>
      </w:hyperlink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A">
      <w:pPr>
        <w:spacing w:line="240" w:lineRule="auto"/>
        <w:rPr>
          <w:sz w:val="18"/>
          <w:szCs w:val="18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В школах Липецкой области заработали питьевые фонтанчики: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https://rg.ru/2020/09/09/reg-cfo/v-shkolah-lipeckoj-oblasti-zarabotali-pitevye-fontanchiki.html</w:t>
        </w:r>
      </w:hyperlink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rtl w:val="0"/>
          </w:rPr>
          <w:t xml:space="preserve">В двух корпусах медуниверситета установлены питьевые фонтанчики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https://www.volgmed.ru/ru/news/content/2020/01/24/8626/</w:t>
        </w:r>
      </w:hyperlink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1C">
      <w:pPr>
        <w:spacing w:line="240" w:lineRule="auto"/>
        <w:rPr>
          <w:rFonts w:ascii="Times" w:cs="Times" w:eastAsia="Times" w:hAnsi="Times"/>
          <w:sz w:val="26"/>
          <w:szCs w:val="26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" w:cs="Times" w:eastAsia="Times" w:hAnsi="Times"/>
          <w:sz w:val="26"/>
          <w:szCs w:val="26"/>
          <w:vertAlign w:val="superscript"/>
          <w:rtl w:val="0"/>
        </w:rPr>
        <w:t xml:space="preserve"> </w:t>
      </w:r>
      <w:hyperlink r:id="rId11">
        <w:r w:rsidDel="00000000" w:rsidR="00000000" w:rsidRPr="00000000">
          <w:rPr>
            <w:rFonts w:ascii="Times" w:cs="Times" w:eastAsia="Times" w:hAnsi="Times"/>
            <w:color w:val="1155cc"/>
            <w:sz w:val="26"/>
            <w:szCs w:val="26"/>
            <w:u w:val="single"/>
            <w:vertAlign w:val="superscript"/>
            <w:rtl w:val="0"/>
          </w:rPr>
          <w:t xml:space="preserve">https://www.susu.ru/ru/news/2024/04/15/v-poyavilis-fontanchiki-s-pitevoy-vodoy</w:t>
        </w:r>
      </w:hyperlink>
      <w:r w:rsidDel="00000000" w:rsidR="00000000" w:rsidRPr="00000000">
        <w:rPr>
          <w:rFonts w:ascii="Times" w:cs="Times" w:eastAsia="Times" w:hAnsi="Times"/>
          <w:sz w:val="26"/>
          <w:szCs w:val="26"/>
          <w:vertAlign w:val="superscript"/>
          <w:rtl w:val="0"/>
        </w:rPr>
        <w:t xml:space="preserve">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ach.gov.ru/upload/iblock/462/46234b3e3624fcccbb8bace5c892f2f4.pdf" TargetMode="External"/><Relationship Id="rId2" Type="http://schemas.openxmlformats.org/officeDocument/2006/relationships/hyperlink" Target="https://rupec.ru/news/49850/" TargetMode="External"/><Relationship Id="rId3" Type="http://schemas.openxmlformats.org/officeDocument/2006/relationships/hyperlink" Target="https://www.npr.org/sections/thesalt/2013/10/28/241419373/how-much-water-actually-goes-into-making-a-bottle-of-water" TargetMode="External"/><Relationship Id="rId4" Type="http://schemas.openxmlformats.org/officeDocument/2006/relationships/hyperlink" Target="https://www.sciencedirect.com/science/article/pii/S2352550923000908#bb0015" TargetMode="External"/><Relationship Id="rId11" Type="http://schemas.openxmlformats.org/officeDocument/2006/relationships/hyperlink" Target="https://www.susu.ru/ru/news/2024/04/15/v-poyavilis-fontanchiki-s-pitevoy-vodoy" TargetMode="External"/><Relationship Id="rId10" Type="http://schemas.openxmlformats.org/officeDocument/2006/relationships/hyperlink" Target="https://www.volgmed.ru/ru/news/content/2020/01/24/8626/" TargetMode="External"/><Relationship Id="rId9" Type="http://schemas.openxmlformats.org/officeDocument/2006/relationships/hyperlink" Target="https://www.volgmed.ru/ru/news/content/2020/01/24/8626/" TargetMode="External"/><Relationship Id="rId5" Type="http://schemas.openxmlformats.org/officeDocument/2006/relationships/hyperlink" Target="https://www.forbes.com/sites/niallmccarthy/2018/03/16/study-finds-microplastics-in-93-percent-of-bottled-water-infographic/?sh=2b7e0e2073fa" TargetMode="External"/><Relationship Id="rId6" Type="http://schemas.openxmlformats.org/officeDocument/2006/relationships/hyperlink" Target="https://rg.ru/2020/09/09/reg-cfo/v-shkolah-lipeckoj-oblasti-zarabotali-pitevye-fontanchiki.html" TargetMode="External"/><Relationship Id="rId7" Type="http://schemas.openxmlformats.org/officeDocument/2006/relationships/hyperlink" Target="https://rg.ru/2020/09/09/reg-cfo/v-shkolah-lipeckoj-oblasti-zarabotali-pitevye-fontanchiki.html" TargetMode="External"/><Relationship Id="rId8" Type="http://schemas.openxmlformats.org/officeDocument/2006/relationships/hyperlink" Target="https://www.volgmed.ru/ru/news/content/2020/01/24/86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